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990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EB73A4" w:rsidTr="00025C97">
        <w:trPr>
          <w:trHeight w:val="397"/>
        </w:trPr>
        <w:tc>
          <w:tcPr>
            <w:tcW w:w="2906" w:type="dxa"/>
            <w:shd w:val="clear" w:color="auto" w:fill="CCFFFF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EB73A4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Človek a hodnoty</w:t>
            </w:r>
          </w:p>
        </w:tc>
      </w:tr>
      <w:tr w:rsidR="00EB73A4" w:rsidTr="00025C97">
        <w:trPr>
          <w:trHeight w:val="397"/>
        </w:trPr>
        <w:tc>
          <w:tcPr>
            <w:tcW w:w="2906" w:type="dxa"/>
            <w:shd w:val="clear" w:color="auto" w:fill="CCFFFF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Etická výchova       </w:t>
            </w:r>
          </w:p>
        </w:tc>
      </w:tr>
      <w:tr w:rsidR="00EB73A4" w:rsidTr="00025C97">
        <w:trPr>
          <w:trHeight w:val="397"/>
        </w:trPr>
        <w:tc>
          <w:tcPr>
            <w:tcW w:w="2906" w:type="dxa"/>
            <w:shd w:val="clear" w:color="auto" w:fill="CCFFFF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ISCED1</w:t>
            </w:r>
          </w:p>
        </w:tc>
      </w:tr>
      <w:tr w:rsidR="00EB73A4" w:rsidTr="00025C97">
        <w:trPr>
          <w:trHeight w:val="397"/>
        </w:trPr>
        <w:tc>
          <w:tcPr>
            <w:tcW w:w="2906" w:type="dxa"/>
            <w:shd w:val="clear" w:color="auto" w:fill="CCFFFF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Tretí </w:t>
            </w:r>
          </w:p>
        </w:tc>
      </w:tr>
      <w:tr w:rsidR="00EB73A4" w:rsidTr="00025C97">
        <w:trPr>
          <w:trHeight w:val="397"/>
        </w:trPr>
        <w:tc>
          <w:tcPr>
            <w:tcW w:w="2906" w:type="dxa"/>
            <w:shd w:val="clear" w:color="auto" w:fill="CCFFFF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týždenne: 1h       ročne: 33h</w:t>
            </w:r>
          </w:p>
        </w:tc>
      </w:tr>
      <w:tr w:rsidR="00EB73A4" w:rsidTr="00025C97">
        <w:trPr>
          <w:trHeight w:val="397"/>
        </w:trPr>
        <w:tc>
          <w:tcPr>
            <w:tcW w:w="2906" w:type="dxa"/>
            <w:shd w:val="clear" w:color="auto" w:fill="CCFFFF"/>
            <w:vAlign w:val="center"/>
          </w:tcPr>
          <w:p w:rsidR="00EB73A4" w:rsidRPr="00794EA3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EB73A4" w:rsidRPr="009B7B3A" w:rsidRDefault="00EB73A4" w:rsidP="00025C9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spojené ročníky 1. – 4.</w:t>
            </w:r>
          </w:p>
        </w:tc>
      </w:tr>
    </w:tbl>
    <w:p w:rsidR="00EB73A4" w:rsidRPr="00025C97" w:rsidRDefault="00025C97" w:rsidP="00025C97">
      <w:pPr>
        <w:pStyle w:val="slovanzoznam"/>
        <w:numPr>
          <w:ilvl w:val="0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UČEBNÉ OSNOVY</w:t>
      </w:r>
    </w:p>
    <w:p w:rsidR="00EB73A4" w:rsidRDefault="00EB73A4" w:rsidP="00EB73A4">
      <w:pPr>
        <w:pStyle w:val="slovanzoznam"/>
        <w:numPr>
          <w:ilvl w:val="0"/>
          <w:numId w:val="0"/>
        </w:numPr>
      </w:pPr>
    </w:p>
    <w:p w:rsidR="00025C97" w:rsidRDefault="00025C97" w:rsidP="00EB73A4">
      <w:pPr>
        <w:pStyle w:val="slovanzoznam"/>
        <w:numPr>
          <w:ilvl w:val="0"/>
          <w:numId w:val="0"/>
        </w:numPr>
      </w:pPr>
    </w:p>
    <w:p w:rsidR="00025C97" w:rsidRDefault="00025C97" w:rsidP="00EB73A4">
      <w:pPr>
        <w:pStyle w:val="slovanzoznam"/>
        <w:numPr>
          <w:ilvl w:val="0"/>
          <w:numId w:val="0"/>
        </w:numPr>
      </w:pPr>
    </w:p>
    <w:p w:rsidR="00EB73A4" w:rsidRDefault="00EB73A4" w:rsidP="00EB73A4">
      <w:pPr>
        <w:pStyle w:val="slovanzoznam"/>
        <w:numPr>
          <w:ilvl w:val="0"/>
          <w:numId w:val="0"/>
        </w:numPr>
      </w:pPr>
      <w:r>
        <w:t>Učebné osnovy sú totožné so vzdelávacím štandardom  ŠVP pre príslušný vzdelávací predmet.</w:t>
      </w:r>
    </w:p>
    <w:p w:rsidR="00EB73A4" w:rsidRDefault="00EB73A4" w:rsidP="00EB73A4">
      <w:pPr>
        <w:pStyle w:val="slovanzoznam"/>
        <w:numPr>
          <w:ilvl w:val="0"/>
          <w:numId w:val="0"/>
        </w:numPr>
      </w:pPr>
    </w:p>
    <w:p w:rsidR="00EB73A4" w:rsidRDefault="00EB73A4" w:rsidP="00EB73A4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  <w:r>
        <w:rPr>
          <w:b/>
          <w:u w:val="single"/>
        </w:rPr>
        <w:t>1.</w:t>
      </w:r>
      <w:r w:rsidRPr="00F06651">
        <w:rPr>
          <w:b/>
          <w:u w:val="single"/>
        </w:rPr>
        <w:t>Charakteristika predmetu</w:t>
      </w:r>
    </w:p>
    <w:p w:rsidR="00EB73A4" w:rsidRDefault="00EB73A4" w:rsidP="008C77B2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rPr>
          <w:b/>
          <w:u w:val="single"/>
        </w:rPr>
      </w:pPr>
    </w:p>
    <w:p w:rsidR="00EB73A4" w:rsidRPr="008C77B2" w:rsidRDefault="00EB73A4" w:rsidP="008C77B2">
      <w:pPr>
        <w:spacing w:line="276" w:lineRule="auto"/>
        <w:ind w:firstLine="708"/>
        <w:jc w:val="both"/>
        <w:rPr>
          <w:b/>
          <w:u w:val="single"/>
        </w:rPr>
      </w:pPr>
      <w:r w:rsidRPr="008C77B2">
        <w:t xml:space="preserve">Hlavnou funkciou povinne voliteľného predmetu etická výchova v nižšom strednom vzdelávaní je osobnostný a sociálny rozvoj žiakov s vlastnou identitou a hodnotovou orientáciou, v ktorej významné miesto zaujíma </w:t>
      </w:r>
      <w:proofErr w:type="spellStart"/>
      <w:r w:rsidRPr="008C77B2">
        <w:t>prosociálne</w:t>
      </w:r>
      <w:proofErr w:type="spellEnd"/>
      <w:r w:rsidRPr="008C77B2">
        <w:t xml:space="preserve"> správanie. Pri plnení tohto cieľa sa primárne využíva zážitkové učenie, riadený rozhovor, diskusia, simulačné hry, ktoré popri informáciách účinne rozvíjajú mravný úsudok, rozlišovanie dobra od zla, orientáciu v etických dilemách dnešnej spoločnosti. Jej súčasťou je rozvoj sociálnych spôsobilostí ako napr. otvorená komunikácia, empatia, asertivita, pozitívne hodnotenie iných a pod. Podieľa sa na primárnej prevencii porúch správania a učenia. Žiaci sú vedení k harmonickým a stabilným vzťahom v rodine, v kolektíve spolužiakov i v iných sociálnych skupinách. V nižšom strednom vzdelávaní vedieme žiakov k reflexii a prehodnocovaniu svojho správania i správania iných, vzhľadom na cieľovú rovinu etickej výchovy, ktorou je sociálne rozvinutý človek a spolupracujúce spoločenstvo. Preto sa etická výchova javí ako predmet, ktorý pripravuje pôdu pre ostatné výchovy, ktoré súvisia s uplatnením sa nielen v konkrétnych osobných vzťahoch žiaka, ale aj v jeho pripravenosti žiť pre spoločné dobro s inými ľuďmi a pre iných.</w:t>
      </w:r>
    </w:p>
    <w:p w:rsidR="00EB73A4" w:rsidRPr="008C77B2" w:rsidRDefault="00EB73A4" w:rsidP="008C77B2">
      <w:pPr>
        <w:pStyle w:val="slovanzoznam"/>
        <w:numPr>
          <w:ilvl w:val="0"/>
          <w:numId w:val="0"/>
        </w:numPr>
        <w:tabs>
          <w:tab w:val="num" w:pos="360"/>
        </w:tabs>
        <w:spacing w:line="276" w:lineRule="auto"/>
        <w:jc w:val="both"/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  <w:u w:val="single"/>
        </w:rPr>
      </w:pPr>
      <w:r w:rsidRPr="008C77B2">
        <w:rPr>
          <w:b/>
          <w:u w:val="single"/>
        </w:rPr>
        <w:t>2.Ciele vyučovacieho predmetu</w:t>
      </w:r>
    </w:p>
    <w:p w:rsidR="00EB73A4" w:rsidRPr="008C77B2" w:rsidRDefault="00EB73A4" w:rsidP="008C77B2">
      <w:pPr>
        <w:pStyle w:val="slovanzoznam"/>
        <w:numPr>
          <w:ilvl w:val="0"/>
          <w:numId w:val="0"/>
        </w:numPr>
        <w:tabs>
          <w:tab w:val="num" w:pos="360"/>
        </w:tabs>
        <w:spacing w:line="276" w:lineRule="auto"/>
        <w:jc w:val="both"/>
      </w:pPr>
    </w:p>
    <w:p w:rsidR="00EB73A4" w:rsidRPr="008C77B2" w:rsidRDefault="00EB73A4" w:rsidP="008C77B2">
      <w:pPr>
        <w:spacing w:line="276" w:lineRule="auto"/>
        <w:jc w:val="both"/>
      </w:pPr>
    </w:p>
    <w:p w:rsidR="00EB73A4" w:rsidRPr="008C77B2" w:rsidRDefault="00EB73A4" w:rsidP="008C77B2">
      <w:pPr>
        <w:spacing w:line="276" w:lineRule="auto"/>
        <w:jc w:val="both"/>
      </w:pPr>
      <w:r w:rsidRPr="008C77B2">
        <w:t>Žiaci:</w:t>
      </w:r>
    </w:p>
    <w:p w:rsidR="00EB73A4" w:rsidRPr="008C77B2" w:rsidRDefault="00EB73A4" w:rsidP="008C77B2">
      <w:pPr>
        <w:spacing w:line="276" w:lineRule="auto"/>
        <w:jc w:val="both"/>
      </w:pP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osvoja si základné postoje, ktoré podmieňujú kultivované medziľudské vzťahy,</w:t>
      </w: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nadobudnú spôsobilosť na pochopenie a rešpektovanie najvyššej hodnoty, ktorou je život človeka a všetko, čo vedie k jeho rozvoju, </w:t>
      </w: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získajú spôsobilosti, ktorými posilnia sebaúctu a hodnotenie iných, </w:t>
      </w: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získajú spôsobilosti pri vyjadrovaní svojich citov a nadobudnú úctu k citovému životu iných, </w:t>
      </w: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naučia sa aktívne participovať na živote spoločnosti (triedy, školy, regiónu), </w:t>
      </w: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osvoja si prvky </w:t>
      </w:r>
      <w:proofErr w:type="spellStart"/>
      <w:r w:rsidRPr="008C77B2">
        <w:t>prosociálneho</w:t>
      </w:r>
      <w:proofErr w:type="spellEnd"/>
      <w:r w:rsidRPr="008C77B2">
        <w:t xml:space="preserve"> správania v rodine, v žiackom kolektíve, </w:t>
      </w:r>
    </w:p>
    <w:p w:rsidR="00EB73A4" w:rsidRPr="008C77B2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nadobudnú spôsobilosť na pochopenie hodnoty priateľstva, vzájomnosti a rodiny, </w:t>
      </w:r>
    </w:p>
    <w:p w:rsidR="00EB73A4" w:rsidRDefault="00EB73A4" w:rsidP="008C77B2">
      <w:pPr>
        <w:spacing w:line="276" w:lineRule="auto"/>
        <w:jc w:val="both"/>
      </w:pPr>
      <w:r w:rsidRPr="008C77B2">
        <w:sym w:font="Symbol" w:char="F0B7"/>
      </w:r>
      <w:r w:rsidRPr="008C77B2">
        <w:t xml:space="preserve"> rozvíjajú svoj postoj k postihnutým, chorým a starým ľuďom.</w:t>
      </w:r>
    </w:p>
    <w:p w:rsidR="008C77B2" w:rsidRPr="008C77B2" w:rsidRDefault="008C77B2" w:rsidP="008C77B2">
      <w:pPr>
        <w:spacing w:line="276" w:lineRule="auto"/>
        <w:jc w:val="both"/>
      </w:pPr>
    </w:p>
    <w:p w:rsidR="00EB73A4" w:rsidRPr="008C77B2" w:rsidRDefault="00EB73A4" w:rsidP="008C77B2">
      <w:pPr>
        <w:spacing w:line="276" w:lineRule="auto"/>
        <w:jc w:val="both"/>
      </w:pPr>
    </w:p>
    <w:p w:rsidR="00EB73A4" w:rsidRPr="008C77B2" w:rsidRDefault="00EB73A4" w:rsidP="008C77B2">
      <w:pPr>
        <w:spacing w:line="276" w:lineRule="auto"/>
        <w:jc w:val="both"/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  <w:u w:val="single"/>
        </w:rPr>
      </w:pPr>
      <w:r w:rsidRPr="008C77B2">
        <w:rPr>
          <w:b/>
          <w:u w:val="single"/>
        </w:rPr>
        <w:t xml:space="preserve">3.Prierezové témy </w:t>
      </w: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jc w:val="both"/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jc w:val="both"/>
      </w:pPr>
      <w:r w:rsidRPr="008C77B2">
        <w:rPr>
          <w:bCs/>
        </w:rPr>
        <w:t>Osobnostný a sociálny rozvoj, Výchova k manželstvu a rodičovstvu, Environmentálna výchova, Mediálna výchova, Multikultúrna výchova, Ochrana života a zdravia, Finančná gramotnosť</w:t>
      </w: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jc w:val="both"/>
        <w:rPr>
          <w:highlight w:val="yellow"/>
        </w:rPr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jc w:val="both"/>
        <w:rPr>
          <w:highlight w:val="yellow"/>
        </w:rPr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</w:rPr>
      </w:pPr>
      <w:r w:rsidRPr="008C77B2">
        <w:rPr>
          <w:b/>
          <w:u w:val="single"/>
        </w:rPr>
        <w:t>4.Tematické celky</w:t>
      </w:r>
      <w:r w:rsidRPr="008C77B2">
        <w:rPr>
          <w:b/>
        </w:rPr>
        <w:t xml:space="preserve">  </w:t>
      </w:r>
    </w:p>
    <w:p w:rsidR="00EB73A4" w:rsidRPr="008C77B2" w:rsidRDefault="00EB73A4" w:rsidP="008C77B2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b/>
        </w:rPr>
      </w:pPr>
    </w:p>
    <w:p w:rsidR="00EB73A4" w:rsidRPr="008C77B2" w:rsidRDefault="00AC3621" w:rsidP="008C77B2">
      <w:pPr>
        <w:pStyle w:val="slovanzoznam"/>
        <w:numPr>
          <w:ilvl w:val="0"/>
          <w:numId w:val="2"/>
        </w:numPr>
        <w:spacing w:line="276" w:lineRule="auto"/>
        <w:jc w:val="both"/>
      </w:pPr>
      <w:r w:rsidRPr="008C77B2">
        <w:t>Vcítenie sa do prežívania iných – empatia, radosť a smútok v živote ľudí, súcit a spoluúčasť so slabšími, chorými, zdravotne a sociálne znevýhodnenými ľuďmi,  vcítenie sa do situácie spolužiakov</w:t>
      </w:r>
    </w:p>
    <w:p w:rsidR="00AC3621" w:rsidRPr="008C77B2" w:rsidRDefault="00AC3621" w:rsidP="008C77B2">
      <w:pPr>
        <w:pStyle w:val="slovanzoznam"/>
        <w:numPr>
          <w:ilvl w:val="0"/>
          <w:numId w:val="0"/>
        </w:numPr>
        <w:spacing w:line="276" w:lineRule="auto"/>
        <w:ind w:left="587"/>
        <w:jc w:val="both"/>
      </w:pPr>
    </w:p>
    <w:p w:rsidR="00EB73A4" w:rsidRPr="008C77B2" w:rsidRDefault="00AC3621" w:rsidP="008C77B2">
      <w:pPr>
        <w:pStyle w:val="slovanzoznam"/>
        <w:numPr>
          <w:ilvl w:val="0"/>
          <w:numId w:val="2"/>
        </w:numPr>
        <w:spacing w:line="276" w:lineRule="auto"/>
        <w:jc w:val="both"/>
      </w:pPr>
      <w:r w:rsidRPr="008C77B2">
        <w:t>Riešenie konfliktov – výchova k zmierlivosti - právo na omyl a zákernosť, odpúšťanie v medziľudských vzťahoch, sebaovládanie v konfliktných situáciách, upevňovanie vzájomnosti súťaživosť a kooperácia</w:t>
      </w:r>
    </w:p>
    <w:p w:rsidR="00AC3621" w:rsidRPr="008C77B2" w:rsidRDefault="00AC3621" w:rsidP="008C77B2">
      <w:pPr>
        <w:pStyle w:val="Odsekzoznamu"/>
        <w:spacing w:line="276" w:lineRule="auto"/>
      </w:pPr>
    </w:p>
    <w:p w:rsidR="00AC3621" w:rsidRPr="008C77B2" w:rsidRDefault="00AC3621" w:rsidP="008C77B2">
      <w:pPr>
        <w:pStyle w:val="slovanzoznam"/>
        <w:numPr>
          <w:ilvl w:val="0"/>
          <w:numId w:val="2"/>
        </w:numPr>
        <w:spacing w:line="276" w:lineRule="auto"/>
        <w:jc w:val="both"/>
      </w:pPr>
      <w:r w:rsidRPr="008C77B2">
        <w:t xml:space="preserve">Pomoc, darovanie, delenie sa - vnímanie a prežívanie </w:t>
      </w:r>
      <w:proofErr w:type="spellStart"/>
      <w:r w:rsidRPr="008C77B2">
        <w:t>prosociálnosti</w:t>
      </w:r>
      <w:proofErr w:type="spellEnd"/>
      <w:r w:rsidRPr="008C77B2">
        <w:t>, materiálna a nemateriálna pomoc, podelenie sa a darovanie v rámci rodiny a žiackeho kolektívu, odmietnutie dobra inými</w:t>
      </w:r>
    </w:p>
    <w:p w:rsidR="00AC3621" w:rsidRPr="008C77B2" w:rsidRDefault="00AC3621" w:rsidP="008C77B2">
      <w:pPr>
        <w:pStyle w:val="Odsekzoznamu"/>
        <w:spacing w:line="276" w:lineRule="auto"/>
      </w:pPr>
    </w:p>
    <w:p w:rsidR="00AC3621" w:rsidRPr="008C77B2" w:rsidRDefault="00AC3621" w:rsidP="008C77B2">
      <w:pPr>
        <w:pStyle w:val="slovanzoznam"/>
        <w:numPr>
          <w:ilvl w:val="0"/>
          <w:numId w:val="2"/>
        </w:numPr>
        <w:spacing w:line="276" w:lineRule="auto"/>
        <w:ind w:left="530"/>
        <w:jc w:val="both"/>
      </w:pPr>
      <w:r w:rsidRPr="008C77B2">
        <w:t>Naša škola - naša škola, príslušnosť k našej škole, účasť žiakov na úspechoch i problémoch školy</w:t>
      </w:r>
    </w:p>
    <w:p w:rsidR="00AC3621" w:rsidRPr="008C77B2" w:rsidRDefault="00AC3621" w:rsidP="008C77B2">
      <w:pPr>
        <w:pStyle w:val="Odsekzoznamu"/>
        <w:spacing w:line="276" w:lineRule="auto"/>
      </w:pPr>
    </w:p>
    <w:p w:rsidR="00AC3621" w:rsidRPr="008C77B2" w:rsidRDefault="00AC3621" w:rsidP="008C77B2">
      <w:pPr>
        <w:pStyle w:val="slovanzoznam"/>
        <w:numPr>
          <w:ilvl w:val="0"/>
          <w:numId w:val="0"/>
        </w:numPr>
        <w:spacing w:line="276" w:lineRule="auto"/>
        <w:ind w:left="587"/>
        <w:jc w:val="both"/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ind w:left="360" w:hanging="360"/>
        <w:jc w:val="both"/>
        <w:rPr>
          <w:b/>
          <w:u w:val="single"/>
        </w:rPr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ind w:left="227"/>
        <w:jc w:val="both"/>
        <w:rPr>
          <w:b/>
          <w:u w:val="single"/>
        </w:rPr>
      </w:pPr>
    </w:p>
    <w:p w:rsidR="00EB73A4" w:rsidRPr="008C77B2" w:rsidRDefault="00EB73A4" w:rsidP="008C77B2">
      <w:pPr>
        <w:pStyle w:val="slovanzoznam"/>
        <w:numPr>
          <w:ilvl w:val="0"/>
          <w:numId w:val="0"/>
        </w:numPr>
        <w:spacing w:line="276" w:lineRule="auto"/>
        <w:ind w:left="587"/>
        <w:jc w:val="both"/>
        <w:rPr>
          <w:b/>
          <w:u w:val="single"/>
        </w:rPr>
      </w:pPr>
      <w:r w:rsidRPr="008C77B2">
        <w:rPr>
          <w:b/>
          <w:u w:val="single"/>
        </w:rPr>
        <w:t>5.Hodnotenie predmetu</w:t>
      </w:r>
    </w:p>
    <w:p w:rsidR="008C77B2" w:rsidRPr="008C77B2" w:rsidRDefault="008C77B2" w:rsidP="008C77B2">
      <w:pPr>
        <w:pStyle w:val="Standard"/>
        <w:spacing w:line="276" w:lineRule="auto"/>
        <w:jc w:val="both"/>
        <w:rPr>
          <w:rFonts w:eastAsia="Times New Roman" w:cs="Times New Roman"/>
          <w:b/>
          <w:kern w:val="0"/>
          <w:u w:val="single"/>
        </w:rPr>
      </w:pPr>
    </w:p>
    <w:p w:rsidR="008C77B2" w:rsidRPr="008C77B2" w:rsidRDefault="008C77B2" w:rsidP="008C77B2">
      <w:pPr>
        <w:pStyle w:val="Standard"/>
        <w:spacing w:line="276" w:lineRule="auto"/>
        <w:jc w:val="both"/>
        <w:rPr>
          <w:rFonts w:cs="Times New Roman"/>
        </w:rPr>
      </w:pPr>
      <w:r w:rsidRPr="008C77B2">
        <w:rPr>
          <w:rFonts w:cs="Times New Roman"/>
          <w:bCs/>
        </w:rPr>
        <w:t xml:space="preserve"> Na konci každého klasifikačného obdobia sú žiaci na vysvedčení hodnotení slovným hodnotením – slovne štyrmi stupňami podľa platnej stupnice – VDV, DV, UV, NV </w:t>
      </w:r>
      <w:r w:rsidRPr="008C77B2">
        <w:rPr>
          <w:rFonts w:cs="Times New Roman"/>
        </w:rPr>
        <w:t>(Metodický pokyn č. 22/2011 č. 2011-3121/12824-4-921 na hodnotenie žiakov základnej školy).</w:t>
      </w:r>
    </w:p>
    <w:p w:rsidR="008C77B2" w:rsidRPr="008C77B2" w:rsidRDefault="008C77B2" w:rsidP="008C77B2">
      <w:pPr>
        <w:pStyle w:val="Standard"/>
        <w:spacing w:line="276" w:lineRule="auto"/>
        <w:jc w:val="both"/>
        <w:rPr>
          <w:rFonts w:cs="Times New Roman"/>
          <w:bCs/>
          <w:color w:val="FF0000"/>
        </w:rPr>
      </w:pPr>
    </w:p>
    <w:p w:rsidR="00EB73A4" w:rsidRPr="008C77B2" w:rsidRDefault="00EB73A4" w:rsidP="00EB73A4">
      <w:pPr>
        <w:pStyle w:val="slovanzoznam"/>
        <w:numPr>
          <w:ilvl w:val="0"/>
          <w:numId w:val="0"/>
        </w:numPr>
        <w:jc w:val="both"/>
      </w:pPr>
    </w:p>
    <w:p w:rsidR="00EB73A4" w:rsidRPr="008C77B2" w:rsidRDefault="00EB73A4" w:rsidP="00EB73A4">
      <w:pPr>
        <w:pStyle w:val="slovanzoznam"/>
        <w:numPr>
          <w:ilvl w:val="0"/>
          <w:numId w:val="0"/>
        </w:numPr>
        <w:jc w:val="both"/>
      </w:pPr>
    </w:p>
    <w:p w:rsidR="00EB73A4" w:rsidRPr="008C77B2" w:rsidRDefault="00EB73A4" w:rsidP="00EB73A4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  <w:bookmarkStart w:id="0" w:name="_GoBack"/>
      <w:bookmarkEnd w:id="0"/>
      <w:r w:rsidRPr="008C77B2">
        <w:rPr>
          <w:b/>
          <w:u w:val="single"/>
        </w:rPr>
        <w:t xml:space="preserve"> </w:t>
      </w:r>
      <w:r w:rsidRPr="008C77B2">
        <w:t xml:space="preserve"> </w:t>
      </w:r>
    </w:p>
    <w:p w:rsidR="00EB73A4" w:rsidRPr="008C77B2" w:rsidRDefault="00EB73A4" w:rsidP="00EB73A4">
      <w:pPr>
        <w:pStyle w:val="slovanzoznam"/>
        <w:numPr>
          <w:ilvl w:val="0"/>
          <w:numId w:val="0"/>
        </w:numPr>
        <w:tabs>
          <w:tab w:val="num" w:pos="432"/>
        </w:tabs>
        <w:rPr>
          <w:b/>
          <w:u w:val="single"/>
        </w:rPr>
      </w:pPr>
    </w:p>
    <w:p w:rsidR="00EB73A4" w:rsidRPr="008C77B2" w:rsidRDefault="00EB73A4" w:rsidP="00EB73A4">
      <w:pPr>
        <w:pStyle w:val="slovanzoznam"/>
        <w:numPr>
          <w:ilvl w:val="0"/>
          <w:numId w:val="0"/>
        </w:numPr>
        <w:ind w:left="360"/>
        <w:jc w:val="both"/>
      </w:pPr>
    </w:p>
    <w:p w:rsidR="00EB73A4" w:rsidRPr="008C77B2" w:rsidRDefault="00EB73A4" w:rsidP="00EB73A4"/>
    <w:p w:rsidR="00EB73A4" w:rsidRPr="008C77B2" w:rsidRDefault="00EB73A4"/>
    <w:sectPr w:rsidR="00EB73A4" w:rsidRPr="008C77B2" w:rsidSect="00EB73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D4ABE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C7A3A"/>
    <w:multiLevelType w:val="hybridMultilevel"/>
    <w:tmpl w:val="A358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7F8"/>
    <w:multiLevelType w:val="hybridMultilevel"/>
    <w:tmpl w:val="0E7E503A"/>
    <w:lvl w:ilvl="0" w:tplc="92401B8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2E53CAB"/>
    <w:multiLevelType w:val="hybridMultilevel"/>
    <w:tmpl w:val="74D48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61CC"/>
    <w:multiLevelType w:val="hybridMultilevel"/>
    <w:tmpl w:val="69984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3A4"/>
    <w:rsid w:val="00025C97"/>
    <w:rsid w:val="002E0BD4"/>
    <w:rsid w:val="008C77B2"/>
    <w:rsid w:val="00AC3621"/>
    <w:rsid w:val="00EB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EB73A4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EB73A4"/>
    <w:pPr>
      <w:ind w:left="720"/>
      <w:contextualSpacing/>
    </w:pPr>
  </w:style>
  <w:style w:type="paragraph" w:customStyle="1" w:styleId="Standard">
    <w:name w:val="Standard"/>
    <w:rsid w:val="008C7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EB73A4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EB73A4"/>
    <w:pPr>
      <w:ind w:left="720"/>
      <w:contextualSpacing/>
    </w:pPr>
  </w:style>
  <w:style w:type="paragraph" w:customStyle="1" w:styleId="Standard">
    <w:name w:val="Standard"/>
    <w:rsid w:val="008C7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9.B žiak 5</dc:creator>
  <cp:lastModifiedBy>Ľubica Serafinová</cp:lastModifiedBy>
  <cp:revision>2</cp:revision>
  <dcterms:created xsi:type="dcterms:W3CDTF">2017-09-18T11:21:00Z</dcterms:created>
  <dcterms:modified xsi:type="dcterms:W3CDTF">2017-09-18T11:21:00Z</dcterms:modified>
</cp:coreProperties>
</file>